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B1" w:rsidRDefault="000917B1">
      <w:pPr>
        <w:rPr>
          <w:lang w:val="es-ES"/>
        </w:rPr>
      </w:pPr>
    </w:p>
    <w:p w:rsidR="00382D6D" w:rsidRDefault="00382D6D">
      <w:pPr>
        <w:rPr>
          <w:lang w:val="es-ES"/>
        </w:rPr>
      </w:pPr>
    </w:p>
    <w:p w:rsidR="00CF7845" w:rsidRDefault="00CF7845">
      <w:pPr>
        <w:rPr>
          <w:lang w:val="es-ES"/>
        </w:rPr>
      </w:pPr>
    </w:p>
    <w:p w:rsidR="0074061F" w:rsidRPr="00A0542A" w:rsidRDefault="0074061F" w:rsidP="0074061F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PLAN ANTICORRUPCIÓN Y ATENCIÓ</w:t>
      </w:r>
      <w:r w:rsidRPr="00A0542A">
        <w:rPr>
          <w:b/>
          <w:i/>
          <w:sz w:val="72"/>
          <w:szCs w:val="72"/>
        </w:rPr>
        <w:t xml:space="preserve">N AL CIUDADANO DEL </w:t>
      </w:r>
      <w:r>
        <w:rPr>
          <w:b/>
          <w:i/>
          <w:sz w:val="72"/>
          <w:szCs w:val="72"/>
        </w:rPr>
        <w:t xml:space="preserve"> INSTITUTO DE DESARROLLO URBANO, VIVIENDA Y GESTIÓN TERRITORIAL DE </w:t>
      </w:r>
      <w:r w:rsidRPr="00A0542A">
        <w:rPr>
          <w:b/>
          <w:i/>
          <w:sz w:val="72"/>
          <w:szCs w:val="72"/>
        </w:rPr>
        <w:t>CHIA</w:t>
      </w:r>
    </w:p>
    <w:p w:rsidR="0074061F" w:rsidRDefault="00CA4B4D" w:rsidP="0074061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Año 2016</w:t>
      </w:r>
      <w:r w:rsidR="0074061F">
        <w:rPr>
          <w:b/>
          <w:sz w:val="72"/>
          <w:szCs w:val="72"/>
        </w:rPr>
        <w:t>.</w:t>
      </w:r>
    </w:p>
    <w:p w:rsidR="0074061F" w:rsidRDefault="0074061F" w:rsidP="0074061F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:rsidR="0074061F" w:rsidRDefault="0074061F" w:rsidP="007406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1C2C">
        <w:rPr>
          <w:rFonts w:ascii="Arial" w:hAnsi="Arial" w:cs="Arial"/>
          <w:b/>
          <w:bCs/>
          <w:sz w:val="24"/>
          <w:szCs w:val="24"/>
        </w:rPr>
        <w:lastRenderedPageBreak/>
        <w:t xml:space="preserve">OBJETIVOS Y ALCANCE DEL PLAN ANTICORRUPCIÓN Y </w:t>
      </w:r>
    </w:p>
    <w:p w:rsidR="0074061F" w:rsidRPr="008C1C2C" w:rsidRDefault="0074061F" w:rsidP="007406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1C2C">
        <w:rPr>
          <w:rFonts w:ascii="Arial" w:hAnsi="Arial" w:cs="Arial"/>
          <w:b/>
          <w:bCs/>
          <w:sz w:val="24"/>
          <w:szCs w:val="24"/>
        </w:rPr>
        <w:t>DE ATENCIÓN AL CIUDADANO</w:t>
      </w:r>
    </w:p>
    <w:p w:rsidR="0074061F" w:rsidRPr="005879ED" w:rsidRDefault="0074061F" w:rsidP="0074061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879ED">
        <w:rPr>
          <w:rFonts w:ascii="Arial" w:hAnsi="Arial" w:cs="Arial"/>
          <w:b/>
        </w:rPr>
        <w:t xml:space="preserve">2.1 Objetivo </w:t>
      </w: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Disminuir </w:t>
      </w:r>
      <w:r w:rsidRPr="00DC4E06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 xml:space="preserve">las </w:t>
      </w:r>
      <w:r w:rsidR="00CA4B4D">
        <w:rPr>
          <w:rFonts w:ascii="Arial" w:hAnsi="Arial" w:cs="Arial"/>
        </w:rPr>
        <w:t xml:space="preserve">posibilidades de riesgos de corrupción </w:t>
      </w:r>
      <w:r>
        <w:rPr>
          <w:rFonts w:ascii="Arial" w:hAnsi="Arial" w:cs="Arial"/>
        </w:rPr>
        <w:t>que se detecten en el ejercicio de la Función Pública</w:t>
      </w:r>
      <w:r w:rsidR="00CA4B4D">
        <w:rPr>
          <w:rFonts w:ascii="Arial" w:hAnsi="Arial" w:cs="Arial"/>
        </w:rPr>
        <w:t>, así mismo  pl</w:t>
      </w:r>
      <w:r>
        <w:rPr>
          <w:rFonts w:ascii="Arial" w:hAnsi="Arial" w:cs="Arial"/>
        </w:rPr>
        <w:t>a</w:t>
      </w:r>
      <w:r w:rsidR="00CA4B4D">
        <w:rPr>
          <w:rFonts w:ascii="Arial" w:hAnsi="Arial" w:cs="Arial"/>
        </w:rPr>
        <w:t>nificar</w:t>
      </w:r>
      <w:r w:rsidR="00650BD3">
        <w:rPr>
          <w:rFonts w:ascii="Arial" w:hAnsi="Arial" w:cs="Arial"/>
        </w:rPr>
        <w:t xml:space="preserve"> estrategias anti tramites y mejorar las herramientas que permitan brinda</w:t>
      </w:r>
      <w:r w:rsidR="00CA4B4D">
        <w:rPr>
          <w:rFonts w:ascii="Arial" w:hAnsi="Arial" w:cs="Arial"/>
        </w:rPr>
        <w:t xml:space="preserve"> </w:t>
      </w:r>
      <w:r w:rsidR="00650BD3">
        <w:rPr>
          <w:rFonts w:ascii="Arial" w:hAnsi="Arial" w:cs="Arial"/>
        </w:rPr>
        <w:t xml:space="preserve"> una mejor </w:t>
      </w:r>
      <w:r w:rsidRPr="00DC4E06">
        <w:rPr>
          <w:rFonts w:ascii="Arial" w:hAnsi="Arial" w:cs="Arial"/>
        </w:rPr>
        <w:t xml:space="preserve"> Atención al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Ciudadano,</w:t>
      </w:r>
      <w:r w:rsidR="00650BD3"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 xml:space="preserve"> conforme lo</w:t>
      </w:r>
      <w:r w:rsidR="00650BD3">
        <w:rPr>
          <w:rFonts w:ascii="Arial" w:hAnsi="Arial" w:cs="Arial"/>
        </w:rPr>
        <w:t xml:space="preserve"> establece la Ley 1474 de 2011 </w:t>
      </w:r>
      <w:r w:rsidRPr="00DC4E06">
        <w:rPr>
          <w:rFonts w:ascii="Arial" w:hAnsi="Arial" w:cs="Arial"/>
        </w:rPr>
        <w:t xml:space="preserve"> Estatuto Anticorrupción.</w:t>
      </w: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Pr="005879ED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879ED">
        <w:rPr>
          <w:rFonts w:ascii="Arial" w:hAnsi="Arial" w:cs="Arial"/>
          <w:b/>
        </w:rPr>
        <w:t xml:space="preserve">2.2 </w:t>
      </w:r>
      <w:r>
        <w:rPr>
          <w:rFonts w:ascii="Arial" w:hAnsi="Arial" w:cs="Arial"/>
          <w:b/>
        </w:rPr>
        <w:t>Estrategia</w:t>
      </w:r>
    </w:p>
    <w:p w:rsidR="0074061F" w:rsidRPr="005879ED" w:rsidRDefault="0074061F" w:rsidP="0074061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79ED">
        <w:rPr>
          <w:rFonts w:ascii="Arial" w:hAnsi="Arial" w:cs="Arial"/>
        </w:rPr>
        <w:t xml:space="preserve">Construir el mapa de riesgos de corrupción del </w:t>
      </w:r>
      <w:r>
        <w:rPr>
          <w:rFonts w:ascii="Arial" w:hAnsi="Arial" w:cs="Arial"/>
        </w:rPr>
        <w:t xml:space="preserve">Instituto de Desarrollo Urbano, Vivienda y Gestión Territorial de Chía  </w:t>
      </w:r>
      <w:r w:rsidRPr="005879ED">
        <w:rPr>
          <w:rFonts w:ascii="Arial" w:hAnsi="Arial" w:cs="Arial"/>
        </w:rPr>
        <w:t>y sus r</w:t>
      </w:r>
      <w:r w:rsidR="00650BD3">
        <w:rPr>
          <w:rFonts w:ascii="Arial" w:hAnsi="Arial" w:cs="Arial"/>
        </w:rPr>
        <w:t>espectivas medidas para mitigarlos</w:t>
      </w:r>
      <w:r w:rsidRPr="005879ED">
        <w:rPr>
          <w:rFonts w:ascii="Arial" w:hAnsi="Arial" w:cs="Arial"/>
        </w:rPr>
        <w:t>.</w:t>
      </w:r>
    </w:p>
    <w:p w:rsidR="0074061F" w:rsidRPr="005879ED" w:rsidRDefault="0074061F" w:rsidP="0074061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79ED">
        <w:rPr>
          <w:rFonts w:ascii="Arial" w:hAnsi="Arial" w:cs="Arial"/>
        </w:rPr>
        <w:t>Determinar la aplica</w:t>
      </w:r>
      <w:r w:rsidR="00D26B4D">
        <w:rPr>
          <w:rFonts w:ascii="Arial" w:hAnsi="Arial" w:cs="Arial"/>
        </w:rPr>
        <w:t xml:space="preserve">ción de la Política de </w:t>
      </w:r>
      <w:r w:rsidR="00C34661">
        <w:rPr>
          <w:rFonts w:ascii="Arial" w:hAnsi="Arial" w:cs="Arial"/>
        </w:rPr>
        <w:t>la estrategia antitrámites</w:t>
      </w:r>
      <w:r w:rsidRPr="005879ED">
        <w:rPr>
          <w:rFonts w:ascii="Arial" w:hAnsi="Arial" w:cs="Arial"/>
        </w:rPr>
        <w:t>.</w:t>
      </w:r>
    </w:p>
    <w:p w:rsidR="0074061F" w:rsidRPr="005879ED" w:rsidRDefault="00C34661" w:rsidP="0074061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Mejorar los </w:t>
      </w:r>
      <w:r w:rsidR="0074061F" w:rsidRPr="005879ED">
        <w:rPr>
          <w:rFonts w:ascii="Arial" w:hAnsi="Arial" w:cs="Arial"/>
        </w:rPr>
        <w:t>mecanismos de rendición de cuentas para la entidad.</w:t>
      </w:r>
    </w:p>
    <w:p w:rsidR="0074061F" w:rsidRPr="00B96BD6" w:rsidRDefault="0074061F" w:rsidP="0074061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96BD6">
        <w:rPr>
          <w:rFonts w:ascii="Arial" w:hAnsi="Arial" w:cs="Arial"/>
        </w:rPr>
        <w:t xml:space="preserve">Definir las acciones necesarias para optimizar la atención al ciudadano en el </w:t>
      </w:r>
      <w:r w:rsidR="00CF5343">
        <w:rPr>
          <w:rFonts w:ascii="Arial" w:hAnsi="Arial" w:cs="Arial"/>
        </w:rPr>
        <w:t xml:space="preserve">IDUVI </w:t>
      </w:r>
      <w:r w:rsidRPr="00B96BD6">
        <w:rPr>
          <w:rFonts w:ascii="Arial" w:hAnsi="Arial" w:cs="Arial"/>
        </w:rPr>
        <w:t>Chía</w:t>
      </w:r>
      <w:r>
        <w:rPr>
          <w:rFonts w:ascii="Arial" w:hAnsi="Arial" w:cs="Arial"/>
        </w:rPr>
        <w:t>.</w:t>
      </w:r>
    </w:p>
    <w:p w:rsidR="0074061F" w:rsidRDefault="0074061F" w:rsidP="0074061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84125" w:rsidRPr="00B96BD6" w:rsidRDefault="00784125" w:rsidP="0074061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879ED">
        <w:rPr>
          <w:rFonts w:ascii="Arial" w:hAnsi="Arial" w:cs="Arial"/>
          <w:b/>
        </w:rPr>
        <w:t>2.3 A</w:t>
      </w:r>
      <w:r>
        <w:rPr>
          <w:rFonts w:ascii="Arial" w:hAnsi="Arial" w:cs="Arial"/>
          <w:b/>
        </w:rPr>
        <w:t>lcance</w:t>
      </w: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4E06">
        <w:rPr>
          <w:rFonts w:ascii="Arial" w:hAnsi="Arial" w:cs="Arial"/>
        </w:rPr>
        <w:t xml:space="preserve">Las medidas, acciones y mecanismos contenidos en el Plan Anticorrupción </w:t>
      </w:r>
      <w:r>
        <w:rPr>
          <w:rFonts w:ascii="Arial" w:hAnsi="Arial" w:cs="Arial"/>
        </w:rPr>
        <w:t>y de Atención al Ciudadano, son aplicadas a toda la Entidad</w:t>
      </w:r>
      <w:r w:rsidRPr="00DC4E06">
        <w:rPr>
          <w:rFonts w:ascii="Arial" w:hAnsi="Arial" w:cs="Arial"/>
        </w:rPr>
        <w:t>.</w:t>
      </w: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Default="0074061F" w:rsidP="0074061F">
      <w:pPr>
        <w:rPr>
          <w:rFonts w:ascii="Arial" w:hAnsi="Arial" w:cs="Arial"/>
        </w:rPr>
      </w:pPr>
    </w:p>
    <w:p w:rsidR="00784125" w:rsidRDefault="00784125" w:rsidP="0074061F">
      <w:pPr>
        <w:rPr>
          <w:rFonts w:ascii="Arial" w:hAnsi="Arial" w:cs="Arial"/>
        </w:rPr>
      </w:pPr>
    </w:p>
    <w:p w:rsidR="00784125" w:rsidRDefault="00784125" w:rsidP="0074061F">
      <w:pPr>
        <w:rPr>
          <w:rFonts w:ascii="Arial" w:hAnsi="Arial" w:cs="Arial"/>
        </w:rPr>
      </w:pPr>
    </w:p>
    <w:p w:rsidR="00784125" w:rsidRDefault="00784125" w:rsidP="0074061F">
      <w:pPr>
        <w:rPr>
          <w:rFonts w:ascii="Arial" w:hAnsi="Arial" w:cs="Arial"/>
        </w:rPr>
      </w:pPr>
    </w:p>
    <w:p w:rsidR="00784125" w:rsidRDefault="00784125" w:rsidP="0074061F">
      <w:pPr>
        <w:rPr>
          <w:rFonts w:ascii="Arial" w:hAnsi="Arial" w:cs="Arial"/>
        </w:rPr>
      </w:pPr>
    </w:p>
    <w:p w:rsidR="00784125" w:rsidRDefault="00784125" w:rsidP="0074061F">
      <w:pPr>
        <w:rPr>
          <w:rFonts w:ascii="Arial" w:hAnsi="Arial" w:cs="Arial"/>
        </w:rPr>
      </w:pPr>
    </w:p>
    <w:p w:rsidR="0074061F" w:rsidRPr="00BF2D0C" w:rsidRDefault="0074061F" w:rsidP="0074061F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4E06">
        <w:rPr>
          <w:rFonts w:ascii="Arial" w:hAnsi="Arial" w:cs="Arial"/>
        </w:rPr>
        <w:t>El referente para la construcción del mapa de riesgos es la metodología de la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ad</w:t>
      </w:r>
      <w:r w:rsidR="00794AFC">
        <w:rPr>
          <w:rFonts w:ascii="Arial" w:hAnsi="Arial" w:cs="Arial"/>
        </w:rPr>
        <w:t>ministración del riesgo</w:t>
      </w:r>
      <w:r w:rsidRPr="00DC4E06">
        <w:rPr>
          <w:rFonts w:ascii="Arial" w:hAnsi="Arial" w:cs="Arial"/>
        </w:rPr>
        <w:t xml:space="preserve">, la cual está inmersa en la guía </w:t>
      </w:r>
      <w:r w:rsidRPr="00DC4E06">
        <w:rPr>
          <w:rFonts w:ascii="Arial" w:hAnsi="Arial" w:cs="Arial"/>
          <w:b/>
          <w:bCs/>
          <w:i/>
          <w:iCs/>
        </w:rPr>
        <w:t>“Estrategias para la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DC4E06">
        <w:rPr>
          <w:rFonts w:ascii="Arial" w:hAnsi="Arial" w:cs="Arial"/>
          <w:b/>
          <w:bCs/>
          <w:i/>
          <w:iCs/>
        </w:rPr>
        <w:t>construcción del Plan Anticorrupción y de atención al ciudadano”</w:t>
      </w:r>
      <w:r w:rsidRPr="00DC4E06">
        <w:rPr>
          <w:rFonts w:ascii="Arial" w:hAnsi="Arial" w:cs="Arial"/>
        </w:rPr>
        <w:t>, como producto de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su aplicación obtenemos el mapa de riesgos de corrupción y acciones para su manejo,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nuestro ejercicio, respeta las categorías de único impacto para el riesgo evaluado como lo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establece el documento antes mencionado. Así mismo, en la probabilidad de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materialización únicamente se consideran dos criterios de probabilidad de materialización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del riesgo: posible y casi seguro.</w:t>
      </w: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Pr="00BF2D0C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F2D0C">
        <w:rPr>
          <w:rFonts w:ascii="Arial" w:hAnsi="Arial" w:cs="Arial"/>
          <w:b/>
        </w:rPr>
        <w:t>Contexto</w:t>
      </w:r>
    </w:p>
    <w:p w:rsidR="0074061F" w:rsidRDefault="00AE59BA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IDUVI </w:t>
      </w:r>
      <w:r w:rsidR="0074061F">
        <w:rPr>
          <w:rFonts w:ascii="Arial" w:hAnsi="Arial" w:cs="Arial"/>
        </w:rPr>
        <w:t xml:space="preserve"> </w:t>
      </w:r>
      <w:r w:rsidR="00C420F2">
        <w:rPr>
          <w:rFonts w:ascii="Arial" w:hAnsi="Arial" w:cs="Arial"/>
        </w:rPr>
        <w:t>Chía</w:t>
      </w:r>
      <w:r w:rsidR="0074061F">
        <w:rPr>
          <w:rFonts w:ascii="Arial" w:hAnsi="Arial" w:cs="Arial"/>
        </w:rPr>
        <w:t xml:space="preserve"> </w:t>
      </w:r>
      <w:r w:rsidR="006C3F4B">
        <w:rPr>
          <w:rFonts w:ascii="Arial" w:hAnsi="Arial" w:cs="Arial"/>
        </w:rPr>
        <w:t>está</w:t>
      </w:r>
      <w:r w:rsidR="00C20949">
        <w:rPr>
          <w:rFonts w:ascii="Arial" w:hAnsi="Arial" w:cs="Arial"/>
        </w:rPr>
        <w:t xml:space="preserve"> construyendo </w:t>
      </w:r>
      <w:r w:rsidR="0074061F" w:rsidRPr="00DC4E06">
        <w:rPr>
          <w:rFonts w:ascii="Arial" w:hAnsi="Arial" w:cs="Arial"/>
        </w:rPr>
        <w:t xml:space="preserve"> </w:t>
      </w:r>
      <w:r w:rsidR="006C3F4B">
        <w:rPr>
          <w:rFonts w:ascii="Arial" w:hAnsi="Arial" w:cs="Arial"/>
        </w:rPr>
        <w:t xml:space="preserve"> un </w:t>
      </w:r>
      <w:r w:rsidR="0074061F" w:rsidRPr="00DC4E06">
        <w:rPr>
          <w:rFonts w:ascii="Arial" w:hAnsi="Arial" w:cs="Arial"/>
        </w:rPr>
        <w:t>Sistema de Control Interno definido</w:t>
      </w:r>
      <w:r w:rsidR="0074061F">
        <w:rPr>
          <w:rFonts w:ascii="Arial" w:hAnsi="Arial" w:cs="Arial"/>
        </w:rPr>
        <w:t xml:space="preserve"> </w:t>
      </w:r>
      <w:r w:rsidR="00E1730C">
        <w:rPr>
          <w:rFonts w:ascii="Arial" w:hAnsi="Arial" w:cs="Arial"/>
        </w:rPr>
        <w:t xml:space="preserve">por módulos, </w:t>
      </w:r>
      <w:r w:rsidR="00794AFC">
        <w:rPr>
          <w:rFonts w:ascii="Arial" w:hAnsi="Arial" w:cs="Arial"/>
        </w:rPr>
        <w:t>componente</w:t>
      </w:r>
      <w:r w:rsidR="00E1730C">
        <w:rPr>
          <w:rFonts w:ascii="Arial" w:hAnsi="Arial" w:cs="Arial"/>
        </w:rPr>
        <w:t xml:space="preserve">s y elementos. </w:t>
      </w:r>
      <w:r w:rsidR="00794AFC">
        <w:rPr>
          <w:rFonts w:ascii="Arial" w:hAnsi="Arial" w:cs="Arial"/>
        </w:rPr>
        <w:t xml:space="preserve"> </w:t>
      </w:r>
      <w:r w:rsidR="0074061F" w:rsidRPr="00DC4E06">
        <w:rPr>
          <w:rFonts w:ascii="Arial" w:hAnsi="Arial" w:cs="Arial"/>
        </w:rPr>
        <w:t>Así</w:t>
      </w:r>
      <w:r w:rsidR="0074061F">
        <w:rPr>
          <w:rFonts w:ascii="Arial" w:hAnsi="Arial" w:cs="Arial"/>
        </w:rPr>
        <w:t xml:space="preserve"> </w:t>
      </w:r>
      <w:r w:rsidR="0074061F" w:rsidRPr="00DC4E06">
        <w:rPr>
          <w:rFonts w:ascii="Arial" w:hAnsi="Arial" w:cs="Arial"/>
        </w:rPr>
        <w:t xml:space="preserve">mismo en el componente de administración del riesgos de dicho Sistema se </w:t>
      </w:r>
      <w:r w:rsidR="006C3F4B">
        <w:rPr>
          <w:rFonts w:ascii="Arial" w:hAnsi="Arial" w:cs="Arial"/>
        </w:rPr>
        <w:t xml:space="preserve">están </w:t>
      </w:r>
      <w:r w:rsidR="0074061F" w:rsidRPr="00DC4E06">
        <w:rPr>
          <w:rFonts w:ascii="Arial" w:hAnsi="Arial" w:cs="Arial"/>
        </w:rPr>
        <w:t>materializan</w:t>
      </w:r>
      <w:r w:rsidR="006C3F4B">
        <w:rPr>
          <w:rFonts w:ascii="Arial" w:hAnsi="Arial" w:cs="Arial"/>
        </w:rPr>
        <w:t>do</w:t>
      </w:r>
      <w:r w:rsidR="0074061F">
        <w:rPr>
          <w:rFonts w:ascii="Arial" w:hAnsi="Arial" w:cs="Arial"/>
        </w:rPr>
        <w:t xml:space="preserve"> </w:t>
      </w:r>
      <w:r w:rsidR="0074061F" w:rsidRPr="00DC4E06">
        <w:rPr>
          <w:rFonts w:ascii="Arial" w:hAnsi="Arial" w:cs="Arial"/>
        </w:rPr>
        <w:t>los elementos de identificación, análisis y valoración, señalando los responsables del</w:t>
      </w:r>
      <w:r w:rsidR="0074061F">
        <w:rPr>
          <w:rFonts w:ascii="Arial" w:hAnsi="Arial" w:cs="Arial"/>
        </w:rPr>
        <w:t xml:space="preserve"> </w:t>
      </w:r>
      <w:r w:rsidR="0074061F" w:rsidRPr="00DC4E06">
        <w:rPr>
          <w:rFonts w:ascii="Arial" w:hAnsi="Arial" w:cs="Arial"/>
        </w:rPr>
        <w:t>monitore</w:t>
      </w:r>
      <w:r w:rsidR="0074061F">
        <w:rPr>
          <w:rFonts w:ascii="Arial" w:hAnsi="Arial" w:cs="Arial"/>
        </w:rPr>
        <w:t xml:space="preserve">o del riesgo y sus </w:t>
      </w:r>
      <w:r w:rsidR="00C420F2">
        <w:rPr>
          <w:rFonts w:ascii="Arial" w:hAnsi="Arial" w:cs="Arial"/>
        </w:rPr>
        <w:t>indicadores.</w:t>
      </w: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4E06">
        <w:rPr>
          <w:rFonts w:ascii="Arial" w:hAnsi="Arial" w:cs="Arial"/>
        </w:rPr>
        <w:t xml:space="preserve">Por lo anterior, el </w:t>
      </w:r>
      <w:r w:rsidR="00AE59BA">
        <w:rPr>
          <w:rFonts w:ascii="Arial" w:hAnsi="Arial" w:cs="Arial"/>
        </w:rPr>
        <w:t xml:space="preserve"> IDUVI </w:t>
      </w:r>
      <w:r w:rsidRPr="00DC4E06">
        <w:rPr>
          <w:rFonts w:ascii="Arial" w:hAnsi="Arial" w:cs="Arial"/>
        </w:rPr>
        <w:t>considera la metodología para la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formulación, seguimiento y control del Plan Anticorrupción y de Atención al Ciudadano tal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como lo señala el artícu</w:t>
      </w:r>
      <w:r w:rsidR="006C3F4B">
        <w:rPr>
          <w:rFonts w:ascii="Arial" w:hAnsi="Arial" w:cs="Arial"/>
        </w:rPr>
        <w:t>lo 73 de la Ley 1474 de 2011.</w:t>
      </w: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4E06">
        <w:rPr>
          <w:rFonts w:ascii="Arial" w:hAnsi="Arial" w:cs="Arial"/>
        </w:rPr>
        <w:t>Bajo este contexto para identificar los riesgos, el mapa de procesos se constituye en la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línea base para esta actividad; diseñando tanto las acciones viables que apunten a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mejorar las debilidades identificadas en el proceso de análisis interno, como aquellas que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contribuyen a mantener y potenciar las fortalezas observadas en el proceso, en cada uno</w:t>
      </w:r>
      <w:r>
        <w:rPr>
          <w:rFonts w:ascii="Arial" w:hAnsi="Arial" w:cs="Arial"/>
        </w:rPr>
        <w:t xml:space="preserve"> </w:t>
      </w:r>
      <w:r w:rsidRPr="00DC4E06">
        <w:rPr>
          <w:rFonts w:ascii="Arial" w:hAnsi="Arial" w:cs="Arial"/>
        </w:rPr>
        <w:t>de los factores analizados.</w:t>
      </w:r>
    </w:p>
    <w:p w:rsidR="0074061F" w:rsidRDefault="0074061F" w:rsidP="0074061F">
      <w:pPr>
        <w:spacing w:after="0" w:line="240" w:lineRule="auto"/>
        <w:rPr>
          <w:b/>
        </w:rPr>
      </w:pPr>
    </w:p>
    <w:p w:rsidR="0074061F" w:rsidRDefault="0074061F" w:rsidP="0074061F">
      <w:pPr>
        <w:spacing w:after="0" w:line="240" w:lineRule="auto"/>
        <w:rPr>
          <w:b/>
        </w:rPr>
      </w:pPr>
      <w:r>
        <w:rPr>
          <w:b/>
        </w:rPr>
        <w:t>E</w:t>
      </w:r>
      <w:r w:rsidRPr="009C6864">
        <w:rPr>
          <w:b/>
        </w:rPr>
        <w:t>nfoque por  procesos</w:t>
      </w:r>
    </w:p>
    <w:p w:rsidR="006C3F4B" w:rsidRDefault="006C3F4B" w:rsidP="0074061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74061F" w:rsidRDefault="00AE59BA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IDUVI </w:t>
      </w:r>
      <w:r w:rsidR="00DB27FE">
        <w:rPr>
          <w:rFonts w:ascii="Arial" w:hAnsi="Arial" w:cs="Arial"/>
        </w:rPr>
        <w:t xml:space="preserve"> ha </w:t>
      </w:r>
      <w:r w:rsidR="00E1730C">
        <w:rPr>
          <w:rFonts w:ascii="Arial" w:hAnsi="Arial" w:cs="Arial"/>
        </w:rPr>
        <w:t xml:space="preserve"> implemento</w:t>
      </w:r>
      <w:r w:rsidR="006C3F4B">
        <w:rPr>
          <w:rFonts w:ascii="Arial" w:hAnsi="Arial" w:cs="Arial"/>
        </w:rPr>
        <w:t xml:space="preserve"> </w:t>
      </w:r>
      <w:r w:rsidR="0074061F" w:rsidRPr="006D0B41">
        <w:rPr>
          <w:rFonts w:ascii="Arial" w:hAnsi="Arial" w:cs="Arial"/>
        </w:rPr>
        <w:t xml:space="preserve"> </w:t>
      </w:r>
      <w:r w:rsidR="00E1730C">
        <w:rPr>
          <w:rFonts w:ascii="Arial" w:hAnsi="Arial" w:cs="Arial"/>
        </w:rPr>
        <w:t xml:space="preserve">en el año 2015 el </w:t>
      </w:r>
      <w:r w:rsidR="0074061F" w:rsidRPr="006D0B41">
        <w:rPr>
          <w:rFonts w:ascii="Arial" w:hAnsi="Arial" w:cs="Arial"/>
        </w:rPr>
        <w:t>enfoque por procesos de la organización, en el sentido de identificar las grandes actividades o procesos que se desarrollan para el direccionamiento estratégico, cumplimiento de la misión institucional; la administración del talento humano, el recurso físico, la gestión financiera, presupuestal, contractual; y los sistemas de información y comunicación; fomentando así el trabajo en equipo, entendiendo que en cada proceso, cada funcionario contribuye en baja, mediana o gran medida con los resultados obtenidos; logrando el mejoramiento continuo de la organización.</w:t>
      </w: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continuación pondremos a disposición los siguientes componentes desarrollados bajo la nueva metodología y ajustados a la realidad de la entidad:</w:t>
      </w: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Mapa de riesgos de corrupción y medidas de mitigación.</w:t>
      </w: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Estrategia de racionalización de trámites.</w:t>
      </w: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Estrategia de rendición de cuentas.</w:t>
      </w: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Componente de atención al ciudadano.</w:t>
      </w: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Componente de transparencia y acceso a la información.</w:t>
      </w: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213" w:rsidRPr="006D0B41" w:rsidRDefault="00F01213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01872" w:rsidRDefault="00A01872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01872" w:rsidRDefault="00A01872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01872" w:rsidRPr="00DC4E06" w:rsidRDefault="00A01872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061F" w:rsidRPr="00BF2D0C" w:rsidRDefault="0074061F" w:rsidP="00F0121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4061F" w:rsidRDefault="0074061F" w:rsidP="0074061F">
      <w:pPr>
        <w:rPr>
          <w:rFonts w:ascii="Arial" w:hAnsi="Arial" w:cs="Arial"/>
        </w:rPr>
      </w:pPr>
    </w:p>
    <w:p w:rsidR="003E14E6" w:rsidRPr="00DB27FE" w:rsidRDefault="003E14E6" w:rsidP="0074061F">
      <w:pPr>
        <w:rPr>
          <w:rFonts w:ascii="Arial" w:hAnsi="Arial" w:cs="Arial"/>
        </w:rPr>
      </w:pPr>
    </w:p>
    <w:p w:rsidR="005B422C" w:rsidRPr="005B422C" w:rsidRDefault="005B422C" w:rsidP="005B42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s-E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3"/>
        <w:gridCol w:w="30"/>
        <w:gridCol w:w="332"/>
        <w:gridCol w:w="271"/>
        <w:gridCol w:w="60"/>
        <w:gridCol w:w="222"/>
        <w:gridCol w:w="351"/>
        <w:gridCol w:w="91"/>
        <w:gridCol w:w="332"/>
        <w:gridCol w:w="210"/>
        <w:gridCol w:w="121"/>
        <w:gridCol w:w="134"/>
        <w:gridCol w:w="198"/>
        <w:gridCol w:w="111"/>
        <w:gridCol w:w="69"/>
        <w:gridCol w:w="151"/>
        <w:gridCol w:w="168"/>
        <w:gridCol w:w="314"/>
        <w:gridCol w:w="182"/>
        <w:gridCol w:w="451"/>
        <w:gridCol w:w="214"/>
        <w:gridCol w:w="330"/>
        <w:gridCol w:w="89"/>
        <w:gridCol w:w="244"/>
        <w:gridCol w:w="266"/>
        <w:gridCol w:w="123"/>
        <w:gridCol w:w="274"/>
        <w:gridCol w:w="222"/>
        <w:gridCol w:w="137"/>
        <w:gridCol w:w="304"/>
        <w:gridCol w:w="334"/>
        <w:gridCol w:w="329"/>
        <w:gridCol w:w="304"/>
        <w:gridCol w:w="140"/>
        <w:gridCol w:w="222"/>
        <w:gridCol w:w="271"/>
        <w:gridCol w:w="127"/>
        <w:gridCol w:w="265"/>
        <w:gridCol w:w="241"/>
        <w:gridCol w:w="91"/>
        <w:gridCol w:w="332"/>
        <w:gridCol w:w="210"/>
        <w:gridCol w:w="453"/>
        <w:gridCol w:w="180"/>
        <w:gridCol w:w="319"/>
        <w:gridCol w:w="164"/>
        <w:gridCol w:w="150"/>
        <w:gridCol w:w="72"/>
        <w:gridCol w:w="110"/>
        <w:gridCol w:w="200"/>
        <w:gridCol w:w="131"/>
        <w:gridCol w:w="120"/>
        <w:gridCol w:w="213"/>
        <w:gridCol w:w="331"/>
        <w:gridCol w:w="89"/>
        <w:gridCol w:w="354"/>
        <w:gridCol w:w="220"/>
        <w:gridCol w:w="59"/>
        <w:gridCol w:w="273"/>
        <w:gridCol w:w="331"/>
        <w:gridCol w:w="29"/>
        <w:gridCol w:w="639"/>
        <w:gridCol w:w="18"/>
      </w:tblGrid>
      <w:tr w:rsidR="005B422C" w:rsidRPr="005B422C">
        <w:trPr>
          <w:trHeight w:val="75"/>
        </w:trPr>
        <w:tc>
          <w:tcPr>
            <w:tcW w:w="6968" w:type="dxa"/>
            <w:gridSpan w:val="31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968" w:type="dxa"/>
            <w:gridSpan w:val="3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trHeight w:val="21"/>
        </w:trPr>
        <w:tc>
          <w:tcPr>
            <w:tcW w:w="13937" w:type="dxa"/>
            <w:gridSpan w:val="6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trHeight w:val="21"/>
        </w:trPr>
        <w:tc>
          <w:tcPr>
            <w:tcW w:w="13937" w:type="dxa"/>
            <w:gridSpan w:val="6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4" w:type="dxa"/>
          <w:trHeight w:val="162"/>
        </w:trPr>
        <w:tc>
          <w:tcPr>
            <w:tcW w:w="2322" w:type="dxa"/>
            <w:gridSpan w:val="9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322" w:type="dxa"/>
            <w:gridSpan w:val="1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322" w:type="dxa"/>
            <w:gridSpan w:val="10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322" w:type="dxa"/>
            <w:gridSpan w:val="10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322" w:type="dxa"/>
            <w:gridSpan w:val="1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322" w:type="dxa"/>
            <w:gridSpan w:val="9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6" w:type="dxa"/>
          <w:trHeight w:val="145"/>
        </w:trPr>
        <w:tc>
          <w:tcPr>
            <w:tcW w:w="995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6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4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4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6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995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4" w:type="dxa"/>
          <w:trHeight w:val="52"/>
        </w:trPr>
        <w:tc>
          <w:tcPr>
            <w:tcW w:w="1548" w:type="dxa"/>
            <w:gridSpan w:val="6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8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7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7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6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7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7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8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1548" w:type="dxa"/>
            <w:gridSpan w:val="6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202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251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309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432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trHeight w:val="107"/>
        </w:trPr>
        <w:tc>
          <w:tcPr>
            <w:tcW w:w="2787" w:type="dxa"/>
            <w:gridSpan w:val="1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trHeight w:val="84"/>
        </w:trPr>
        <w:tc>
          <w:tcPr>
            <w:tcW w:w="2787" w:type="dxa"/>
            <w:gridSpan w:val="1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2787" w:type="dxa"/>
            <w:gridSpan w:val="1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177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3" w:type="dxa"/>
          <w:trHeight w:val="315"/>
        </w:trPr>
        <w:tc>
          <w:tcPr>
            <w:tcW w:w="66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6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293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292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0" w:type="dxa"/>
          <w:trHeight w:val="430"/>
        </w:trPr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5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  <w:gridSpan w:val="3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633" w:type="dxa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trHeight w:val="125"/>
        </w:trPr>
        <w:tc>
          <w:tcPr>
            <w:tcW w:w="4645" w:type="dxa"/>
            <w:gridSpan w:val="21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4645" w:type="dxa"/>
            <w:gridSpan w:val="20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4645" w:type="dxa"/>
            <w:gridSpan w:val="2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8" w:type="dxa"/>
          <w:trHeight w:val="303"/>
        </w:trPr>
        <w:tc>
          <w:tcPr>
            <w:tcW w:w="3484" w:type="dxa"/>
            <w:gridSpan w:val="17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3484" w:type="dxa"/>
            <w:gridSpan w:val="14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3484" w:type="dxa"/>
            <w:gridSpan w:val="14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  <w:tc>
          <w:tcPr>
            <w:tcW w:w="3484" w:type="dxa"/>
            <w:gridSpan w:val="17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  <w:tr w:rsidR="005B422C" w:rsidRPr="005B422C">
        <w:trPr>
          <w:gridAfter w:val="1"/>
          <w:wAfter w:w="17" w:type="dxa"/>
          <w:trHeight w:val="104"/>
        </w:trPr>
        <w:tc>
          <w:tcPr>
            <w:tcW w:w="13937" w:type="dxa"/>
            <w:gridSpan w:val="62"/>
          </w:tcPr>
          <w:p w:rsidR="005B422C" w:rsidRPr="005B422C" w:rsidRDefault="005B422C" w:rsidP="005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es-ES"/>
              </w:rPr>
            </w:pPr>
          </w:p>
        </w:tc>
      </w:tr>
    </w:tbl>
    <w:p w:rsidR="003E14E6" w:rsidRPr="005B422C" w:rsidRDefault="003E14E6" w:rsidP="0074061F">
      <w:pPr>
        <w:rPr>
          <w:rFonts w:ascii="Arial" w:hAnsi="Arial" w:cs="Arial"/>
        </w:rPr>
      </w:pPr>
    </w:p>
    <w:p w:rsidR="0074061F" w:rsidRDefault="0074061F" w:rsidP="0074061F">
      <w:pPr>
        <w:rPr>
          <w:rFonts w:ascii="Arial" w:hAnsi="Arial" w:cs="Arial"/>
        </w:rPr>
      </w:pPr>
    </w:p>
    <w:p w:rsidR="0074061F" w:rsidRDefault="0074061F" w:rsidP="0074061F">
      <w:pPr>
        <w:rPr>
          <w:rFonts w:ascii="Arial" w:hAnsi="Arial" w:cs="Arial"/>
        </w:rPr>
      </w:pPr>
    </w:p>
    <w:p w:rsidR="005B025E" w:rsidRDefault="005B025E" w:rsidP="0074061F">
      <w:pPr>
        <w:rPr>
          <w:rFonts w:ascii="Arial" w:hAnsi="Arial" w:cs="Arial"/>
        </w:rPr>
      </w:pPr>
    </w:p>
    <w:p w:rsidR="005B025E" w:rsidRDefault="005B025E" w:rsidP="0074061F">
      <w:pPr>
        <w:rPr>
          <w:rFonts w:ascii="Arial" w:hAnsi="Arial" w:cs="Arial"/>
        </w:rPr>
      </w:pPr>
    </w:p>
    <w:p w:rsidR="005B025E" w:rsidRDefault="005B025E" w:rsidP="0074061F">
      <w:pPr>
        <w:rPr>
          <w:rFonts w:ascii="Arial" w:hAnsi="Arial" w:cs="Arial"/>
        </w:rPr>
      </w:pPr>
    </w:p>
    <w:p w:rsidR="005B025E" w:rsidRDefault="005B025E" w:rsidP="0074061F">
      <w:pPr>
        <w:rPr>
          <w:rFonts w:ascii="Arial" w:hAnsi="Arial" w:cs="Arial"/>
        </w:rPr>
      </w:pPr>
    </w:p>
    <w:p w:rsidR="0074061F" w:rsidRPr="003E14E6" w:rsidRDefault="0074061F" w:rsidP="003E14E6">
      <w:pPr>
        <w:pStyle w:val="Prrafodelista"/>
        <w:numPr>
          <w:ilvl w:val="0"/>
          <w:numId w:val="19"/>
        </w:numPr>
        <w:jc w:val="center"/>
        <w:rPr>
          <w:rFonts w:ascii="Arial" w:hAnsi="Arial" w:cs="Arial"/>
          <w:b/>
          <w:bCs/>
        </w:rPr>
      </w:pPr>
      <w:r w:rsidRPr="002B66B8">
        <w:rPr>
          <w:rFonts w:ascii="Arial" w:hAnsi="Arial" w:cs="Arial"/>
          <w:b/>
          <w:bCs/>
        </w:rPr>
        <w:t>RENDICIÓN DE CUENTAS</w:t>
      </w: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7"/>
        <w:gridCol w:w="6088"/>
        <w:gridCol w:w="1602"/>
        <w:gridCol w:w="1560"/>
        <w:gridCol w:w="2551"/>
      </w:tblGrid>
      <w:tr w:rsidR="0074061F" w:rsidRPr="006D06BC" w:rsidTr="00997BD1">
        <w:trPr>
          <w:trHeight w:val="315"/>
        </w:trPr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Estrategias,</w:t>
            </w:r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br/>
              <w:t>Mecanismos,</w:t>
            </w:r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br/>
              <w:t xml:space="preserve">Medida, </w:t>
            </w:r>
            <w:proofErr w:type="spellStart"/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etc</w:t>
            </w:r>
            <w:proofErr w:type="spellEnd"/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D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4061F" w:rsidRPr="00DC4BD8" w:rsidTr="00997BD1">
        <w:trPr>
          <w:trHeight w:val="594"/>
        </w:trPr>
        <w:tc>
          <w:tcPr>
            <w:tcW w:w="1397" w:type="dxa"/>
            <w:vMerge w:val="restart"/>
            <w:tcBorders>
              <w:top w:val="nil"/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Rendición de cuentas</w:t>
            </w:r>
            <w:r w:rsidRPr="00DC4BD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1F" w:rsidRPr="00D46285" w:rsidRDefault="0074061F" w:rsidP="005B025E">
            <w:pPr>
              <w:pStyle w:val="Default"/>
              <w:rPr>
                <w:sz w:val="18"/>
                <w:szCs w:val="18"/>
              </w:rPr>
            </w:pPr>
            <w:r w:rsidRPr="00D46285">
              <w:rPr>
                <w:sz w:val="18"/>
                <w:szCs w:val="18"/>
              </w:rPr>
              <w:t>Realizar rendición de cuentas en permanente acuerdo con lo señalado en el CONPES 3654 y no como un único hecho aislado realizando una Audiencia Pública al terminar el año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Diciembre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C4B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Gerencia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Se </w:t>
            </w:r>
            <w:bookmarkStart w:id="0" w:name="_GoBack"/>
            <w:bookmarkEnd w:id="0"/>
            <w:r w:rsidR="005B02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tiene contemplado realizar la rendición de cuentas para la vigencia 2015 en Diciembre </w:t>
            </w:r>
          </w:p>
        </w:tc>
      </w:tr>
      <w:tr w:rsidR="0074061F" w:rsidRPr="00DC4BD8" w:rsidTr="00997BD1">
        <w:trPr>
          <w:trHeight w:val="565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1F" w:rsidRPr="00D46285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D46285">
              <w:rPr>
                <w:sz w:val="18"/>
                <w:szCs w:val="18"/>
              </w:rPr>
              <w:t>Diseñar una encuesta para cada una de las rendiciones de cuentas, con el objetivo de recoger las necesidades de información y los temas sugeridos por la ciudadanía, d</w:t>
            </w:r>
            <w:r w:rsidR="005B025E">
              <w:rPr>
                <w:sz w:val="18"/>
                <w:szCs w:val="18"/>
              </w:rPr>
              <w:t>e acuerdo con las funciones del IDUVI</w:t>
            </w:r>
            <w:r w:rsidRPr="00D46285">
              <w:rPr>
                <w:sz w:val="18"/>
                <w:szCs w:val="18"/>
              </w:rPr>
              <w:t xml:space="preserve">. Esta encuesta será difundida a través de los medios de comunicación externos </w:t>
            </w:r>
            <w:r w:rsidRPr="00D46285">
              <w:rPr>
                <w:sz w:val="18"/>
                <w:szCs w:val="18"/>
              </w:rPr>
              <w:lastRenderedPageBreak/>
              <w:t xml:space="preserve">de la Entidad (Página Web, redes sociales), logrando de esta manera mayor participación y control social por parte de la ciudadanía. 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Pr="00DC4BD8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Diciembre 2015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Pr="00DC4BD8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C4B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Gerencia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DC4BD8" w:rsidTr="00997BD1">
        <w:trPr>
          <w:trHeight w:val="585"/>
        </w:trPr>
        <w:tc>
          <w:tcPr>
            <w:tcW w:w="1397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1F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D46285">
              <w:rPr>
                <w:sz w:val="18"/>
                <w:szCs w:val="18"/>
              </w:rPr>
              <w:t xml:space="preserve">Publicación en la página web del </w:t>
            </w:r>
            <w:r w:rsidR="005B025E">
              <w:rPr>
                <w:sz w:val="18"/>
                <w:szCs w:val="18"/>
              </w:rPr>
              <w:t xml:space="preserve">IDUVI  </w:t>
            </w:r>
            <w:r>
              <w:rPr>
                <w:sz w:val="18"/>
                <w:szCs w:val="18"/>
              </w:rPr>
              <w:t xml:space="preserve">Chía </w:t>
            </w:r>
            <w:r w:rsidRPr="00D46285">
              <w:rPr>
                <w:sz w:val="18"/>
                <w:szCs w:val="18"/>
              </w:rPr>
              <w:t>www.</w:t>
            </w:r>
            <w:r w:rsidR="005B025E">
              <w:rPr>
                <w:sz w:val="18"/>
                <w:szCs w:val="18"/>
              </w:rPr>
              <w:t>iduvichia</w:t>
            </w:r>
            <w:r w:rsidRPr="00D46285">
              <w:rPr>
                <w:sz w:val="18"/>
                <w:szCs w:val="18"/>
              </w:rPr>
              <w:t xml:space="preserve">.gov.co, y </w:t>
            </w:r>
            <w:r w:rsidR="005B025E">
              <w:rPr>
                <w:sz w:val="18"/>
                <w:szCs w:val="18"/>
              </w:rPr>
              <w:t>en las redes sociales (</w:t>
            </w:r>
            <w:r w:rsidRPr="00D46285">
              <w:rPr>
                <w:sz w:val="18"/>
                <w:szCs w:val="18"/>
              </w:rPr>
              <w:t xml:space="preserve"> </w:t>
            </w:r>
            <w:proofErr w:type="spellStart"/>
            <w:r w:rsidRPr="00D46285">
              <w:rPr>
                <w:sz w:val="18"/>
                <w:szCs w:val="18"/>
              </w:rPr>
              <w:t>Facebook</w:t>
            </w:r>
            <w:proofErr w:type="spellEnd"/>
            <w:r w:rsidRPr="00D46285">
              <w:rPr>
                <w:sz w:val="18"/>
                <w:szCs w:val="18"/>
              </w:rPr>
              <w:t xml:space="preserve">) de la Entidad la siguiente información: </w:t>
            </w:r>
          </w:p>
          <w:p w:rsidR="0074061F" w:rsidRPr="00F23B6C" w:rsidRDefault="0074061F" w:rsidP="0074061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3B6C">
              <w:rPr>
                <w:rFonts w:ascii="Arial" w:hAnsi="Arial" w:cs="Arial"/>
                <w:color w:val="000000"/>
                <w:sz w:val="18"/>
                <w:szCs w:val="18"/>
              </w:rPr>
              <w:t>Publicación informativa sobre cada una de las rendiciones de cuentas que se llevarán a cabo en la vig</w:t>
            </w:r>
            <w:r w:rsidR="005B025E">
              <w:rPr>
                <w:rFonts w:ascii="Arial" w:hAnsi="Arial" w:cs="Arial"/>
                <w:color w:val="000000"/>
                <w:sz w:val="18"/>
                <w:szCs w:val="18"/>
              </w:rPr>
              <w:t>encia 2015</w:t>
            </w:r>
          </w:p>
          <w:p w:rsidR="0074061F" w:rsidRPr="00F23B6C" w:rsidRDefault="0074061F" w:rsidP="0074061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3B6C">
              <w:rPr>
                <w:rFonts w:ascii="Arial" w:hAnsi="Arial" w:cs="Arial"/>
                <w:color w:val="000000"/>
                <w:sz w:val="18"/>
                <w:szCs w:val="18"/>
              </w:rPr>
              <w:t>Publicación de los incentivos que la Entidad otorgará a los ciudadanos por la participación en las rendiciones de cue</w:t>
            </w:r>
            <w:r w:rsidR="005B025E">
              <w:rPr>
                <w:rFonts w:ascii="Arial" w:hAnsi="Arial" w:cs="Arial"/>
                <w:color w:val="000000"/>
                <w:sz w:val="18"/>
                <w:szCs w:val="18"/>
              </w:rPr>
              <w:t xml:space="preserve">ntas del </w:t>
            </w:r>
            <w:r w:rsidR="00912D1E">
              <w:rPr>
                <w:rFonts w:ascii="Arial" w:hAnsi="Arial" w:cs="Arial"/>
                <w:color w:val="000000"/>
                <w:sz w:val="18"/>
                <w:szCs w:val="18"/>
              </w:rPr>
              <w:t xml:space="preserve">IDUVI </w:t>
            </w:r>
            <w:r w:rsidR="005B025E">
              <w:rPr>
                <w:rFonts w:ascii="Arial" w:hAnsi="Arial" w:cs="Arial"/>
                <w:color w:val="000000"/>
                <w:sz w:val="18"/>
                <w:szCs w:val="18"/>
              </w:rPr>
              <w:t>durante el año 2015</w:t>
            </w:r>
            <w:r w:rsidRPr="00F23B6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4061F" w:rsidRPr="00D46285" w:rsidRDefault="0074061F" w:rsidP="0074061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F23B6C">
              <w:rPr>
                <w:rFonts w:ascii="Arial" w:hAnsi="Arial" w:cs="Arial"/>
                <w:color w:val="000000"/>
                <w:sz w:val="18"/>
                <w:szCs w:val="18"/>
              </w:rPr>
              <w:t>Publicación de la información presentada durante la rendición de cuentas y los compromisos que se adquieran con la ciudadanía.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Diciembre 2015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Pr="00DC4BD8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C4B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Gerencia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14964" w:rsidRDefault="00014964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14964" w:rsidRDefault="00014964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4061F" w:rsidRPr="002510A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1334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91"/>
        <w:gridCol w:w="6095"/>
        <w:gridCol w:w="1701"/>
        <w:gridCol w:w="1560"/>
        <w:gridCol w:w="2693"/>
      </w:tblGrid>
      <w:tr w:rsidR="0074061F" w:rsidRPr="006D06BC" w:rsidTr="00997BD1">
        <w:trPr>
          <w:trHeight w:val="831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4061F" w:rsidRPr="00B240E9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Estrategias,</w:t>
            </w:r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br/>
              <w:t>Mecanismos,</w:t>
            </w:r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br/>
              <w:t xml:space="preserve">Medida, </w:t>
            </w:r>
            <w:proofErr w:type="spellStart"/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etc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D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4061F" w:rsidRPr="00B240E9" w:rsidTr="00997BD1">
        <w:trPr>
          <w:trHeight w:val="486"/>
        </w:trPr>
        <w:tc>
          <w:tcPr>
            <w:tcW w:w="129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Rendición de cuentas</w:t>
            </w:r>
            <w:r w:rsidRPr="00DC4BD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B240E9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B240E9">
              <w:rPr>
                <w:sz w:val="18"/>
                <w:szCs w:val="18"/>
              </w:rPr>
              <w:t>1. Plan de Acción 201</w:t>
            </w:r>
            <w:r w:rsidR="005B025E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AB4CD6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B4C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 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B240E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Gerente de Meta</w:t>
            </w:r>
          </w:p>
          <w:p w:rsidR="0074061F" w:rsidRPr="00B240E9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Profesional Universitario</w:t>
            </w:r>
          </w:p>
          <w:p w:rsidR="0074061F" w:rsidRPr="00B240E9" w:rsidRDefault="0074061F" w:rsidP="00997BD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AB4CD6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AB4CD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lastRenderedPageBreak/>
              <w:t>Se cumplió</w:t>
            </w: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Informe Gestión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B240E9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Radicación Informe Gestión 2015</w:t>
            </w:r>
            <w:r w:rsidRPr="00B240E9">
              <w:rPr>
                <w:sz w:val="18"/>
                <w:szCs w:val="18"/>
              </w:rPr>
              <w:t xml:space="preserve"> ante el Concejo Municipal, Personería Municipal y Consejo Territorial de Planeación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B240E9">
              <w:rPr>
                <w:sz w:val="18"/>
                <w:szCs w:val="18"/>
              </w:rPr>
              <w:t xml:space="preserve">5. Publicación WEB Informe Avance semestral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20105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  <w:r w:rsidRPr="00AB4CD6">
              <w:rPr>
                <w:sz w:val="18"/>
                <w:szCs w:val="18"/>
              </w:rPr>
              <w:t>Se cumplió</w:t>
            </w: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B240E9">
              <w:rPr>
                <w:sz w:val="18"/>
                <w:szCs w:val="18"/>
              </w:rPr>
              <w:t xml:space="preserve">6.  Programa radial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Noviembre 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B240E9">
              <w:rPr>
                <w:sz w:val="18"/>
                <w:szCs w:val="18"/>
              </w:rPr>
              <w:t>7. Boletines Virtuales y Escritos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– Diciembre 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Se están publicando permanentemente  en la página web de la entidad y redes sociales Se está cumpliendo </w:t>
            </w: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B240E9">
              <w:rPr>
                <w:sz w:val="18"/>
                <w:szCs w:val="18"/>
              </w:rPr>
              <w:t xml:space="preserve">8. Publicación periódico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– Diciembre 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  <w:r w:rsidRPr="00AB4CD6">
              <w:rPr>
                <w:sz w:val="18"/>
                <w:szCs w:val="18"/>
              </w:rPr>
              <w:t>Se  está cumpliendo</w:t>
            </w: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Video avance año 2015</w:t>
            </w:r>
            <w:r w:rsidRPr="00B240E9">
              <w:rPr>
                <w:sz w:val="18"/>
                <w:szCs w:val="18"/>
              </w:rPr>
              <w:t xml:space="preserve"> corte noviembre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B4C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Diciembre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</w:p>
        </w:tc>
      </w:tr>
      <w:tr w:rsidR="005B025E" w:rsidRPr="00B240E9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B240E9">
              <w:rPr>
                <w:sz w:val="18"/>
                <w:szCs w:val="18"/>
              </w:rPr>
              <w:t xml:space="preserve">10. Publicación Plan Anticorrupción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B4C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30</w:t>
            </w:r>
          </w:p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B4C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31</w:t>
            </w:r>
          </w:p>
          <w:p w:rsidR="005B025E" w:rsidRPr="00AB4CD6" w:rsidRDefault="005B025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B4C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31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  <w:r w:rsidRPr="00AB4CD6">
              <w:rPr>
                <w:sz w:val="18"/>
                <w:szCs w:val="18"/>
              </w:rPr>
              <w:t>Se  cumplió</w:t>
            </w:r>
          </w:p>
        </w:tc>
      </w:tr>
      <w:tr w:rsidR="005B025E" w:rsidRPr="00B240E9" w:rsidTr="006537A7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6D06BC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B240E9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2510A6">
              <w:rPr>
                <w:sz w:val="18"/>
                <w:szCs w:val="18"/>
              </w:rPr>
              <w:t>11. Publicación informes Rendición de Cuentas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2F31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B4CD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Dic</w:t>
            </w:r>
            <w:r w:rsidR="002F310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iembre 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B240E9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  <w:r w:rsidRPr="00AB4CD6">
              <w:rPr>
                <w:sz w:val="18"/>
                <w:szCs w:val="18"/>
              </w:rPr>
              <w:t>Se  está cumpliendo</w:t>
            </w:r>
          </w:p>
        </w:tc>
      </w:tr>
      <w:tr w:rsidR="005B025E" w:rsidTr="00997BD1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B025E" w:rsidRPr="002510A6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5E" w:rsidRPr="002510A6" w:rsidRDefault="005B025E" w:rsidP="00997BD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Default="005B025E" w:rsidP="00997BD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AB4CD6" w:rsidRDefault="005B025E" w:rsidP="00997BD1">
            <w:pPr>
              <w:rPr>
                <w:sz w:val="18"/>
                <w:szCs w:val="18"/>
              </w:rPr>
            </w:pPr>
          </w:p>
        </w:tc>
      </w:tr>
    </w:tbl>
    <w:p w:rsidR="0074061F" w:rsidRPr="00DC4E06" w:rsidRDefault="0074061F" w:rsidP="00740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4061F" w:rsidRDefault="0074061F" w:rsidP="0074061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1334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91"/>
        <w:gridCol w:w="6095"/>
        <w:gridCol w:w="1701"/>
        <w:gridCol w:w="1560"/>
        <w:gridCol w:w="2693"/>
      </w:tblGrid>
      <w:tr w:rsidR="0074061F" w:rsidRPr="006D06BC" w:rsidTr="002B3700">
        <w:trPr>
          <w:trHeight w:val="31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4061F" w:rsidRPr="00B240E9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lastRenderedPageBreak/>
              <w:t>Estrategias,</w:t>
            </w:r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br/>
              <w:t>Mecanismos,</w:t>
            </w:r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br/>
              <w:t xml:space="preserve">Medida, </w:t>
            </w:r>
            <w:proofErr w:type="spellStart"/>
            <w:r w:rsidRPr="00B240E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etc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D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4061F" w:rsidRPr="006D06BC" w:rsidTr="002B3700">
        <w:trPr>
          <w:trHeight w:val="315"/>
        </w:trPr>
        <w:tc>
          <w:tcPr>
            <w:tcW w:w="129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3B1FB1" w:rsidRDefault="0074061F" w:rsidP="00997BD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B1FB1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Estrategia de rendición de cuentas Diálogo</w:t>
            </w:r>
          </w:p>
          <w:p w:rsidR="0074061F" w:rsidRPr="003B1FB1" w:rsidRDefault="0074061F" w:rsidP="00997BD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3B1FB1" w:rsidRDefault="002F3105" w:rsidP="00997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Socialización gestión 2015</w:t>
            </w:r>
            <w:r w:rsidR="0074061F" w:rsidRPr="003B1FB1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 Concejo Municipal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2F3105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Diciembre 2015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Gerente de Meta</w:t>
            </w:r>
          </w:p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Profesional Universitario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6D06BC" w:rsidTr="002B3700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3B1FB1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3B1FB1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3B1FB1">
              <w:rPr>
                <w:sz w:val="18"/>
                <w:szCs w:val="18"/>
              </w:rPr>
              <w:t>2. Jornad</w:t>
            </w:r>
            <w:r w:rsidR="002F3105">
              <w:rPr>
                <w:sz w:val="18"/>
                <w:szCs w:val="18"/>
              </w:rPr>
              <w:t>as de Socialización Gestión 2015</w:t>
            </w:r>
            <w:r w:rsidRPr="003B1FB1">
              <w:rPr>
                <w:sz w:val="18"/>
                <w:szCs w:val="18"/>
              </w:rPr>
              <w:t xml:space="preserve"> Consejo Territorial de Planeación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2F3105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Diciembre 2015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6D06BC" w:rsidTr="002B3700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3B1FB1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3B1FB1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3B1FB1">
              <w:rPr>
                <w:sz w:val="18"/>
                <w:szCs w:val="18"/>
              </w:rPr>
              <w:t>3. Jornada de socialización Estrategia metodológica de seguimiento con Juntas de Acción Comunal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2F3105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Enero – Diciembre 2015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6D06BC" w:rsidTr="002B3700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3B1FB1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3B1FB1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3B1FB1">
              <w:rPr>
                <w:sz w:val="18"/>
                <w:szCs w:val="18"/>
              </w:rPr>
              <w:t>4. Chat con Juntas de Acción Comunal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6D06BC" w:rsidTr="002B3700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3B1FB1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3B1FB1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3B1FB1">
              <w:rPr>
                <w:sz w:val="18"/>
                <w:szCs w:val="18"/>
              </w:rPr>
              <w:t xml:space="preserve">5. Convocatorias Rendición de Cuentas Web, radio, prensa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2F3105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Noviembre – Diciembre 2015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6D06BC" w:rsidTr="00784125">
        <w:trPr>
          <w:trHeight w:val="1096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3B1FB1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3B1FB1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3B1FB1">
              <w:rPr>
                <w:sz w:val="18"/>
                <w:szCs w:val="18"/>
              </w:rPr>
              <w:t>6. Jornada de Socialización a la ciudadanía</w:t>
            </w:r>
            <w:r w:rsidRPr="003B1FB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2F3105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Enero – Diciembre 2015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6D06BC" w:rsidTr="002B3700">
        <w:trPr>
          <w:trHeight w:val="315"/>
        </w:trPr>
        <w:tc>
          <w:tcPr>
            <w:tcW w:w="1291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4061F" w:rsidRPr="003B1FB1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3B1FB1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3B1FB1">
              <w:rPr>
                <w:sz w:val="18"/>
                <w:szCs w:val="18"/>
              </w:rPr>
              <w:t>7. Encuesta WEB intereses de la ciudadanía en el momento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2F3105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Octubre –  Noviembre 2015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B240E9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74061F" w:rsidRDefault="0074061F" w:rsidP="0074061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74061F" w:rsidRDefault="0074061F" w:rsidP="0074061F">
      <w:pPr>
        <w:rPr>
          <w:rFonts w:ascii="Arial" w:hAnsi="Arial" w:cs="Arial"/>
          <w:color w:val="000000"/>
        </w:rPr>
      </w:pPr>
    </w:p>
    <w:p w:rsidR="0074061F" w:rsidRPr="002B66B8" w:rsidRDefault="0074061F" w:rsidP="0074061F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B66B8">
        <w:rPr>
          <w:rFonts w:ascii="Arial" w:hAnsi="Arial" w:cs="Arial"/>
          <w:b/>
          <w:bCs/>
        </w:rPr>
        <w:t>ESTRATEGIA ANTITRÁMITES</w:t>
      </w: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7"/>
        <w:gridCol w:w="6088"/>
        <w:gridCol w:w="1744"/>
        <w:gridCol w:w="1559"/>
        <w:gridCol w:w="3119"/>
      </w:tblGrid>
      <w:tr w:rsidR="0074061F" w:rsidRPr="006D06BC" w:rsidTr="00997BD1">
        <w:trPr>
          <w:trHeight w:val="315"/>
        </w:trPr>
        <w:tc>
          <w:tcPr>
            <w:tcW w:w="139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AE54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Estrategias,</w:t>
            </w:r>
            <w:r w:rsidRPr="00AE54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br/>
              <w:t>Mecanismos,</w:t>
            </w:r>
            <w:r w:rsidRPr="00AE54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br/>
              <w:t xml:space="preserve">Medida, </w:t>
            </w:r>
            <w:proofErr w:type="spellStart"/>
            <w:r w:rsidRPr="00AE54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etc</w:t>
            </w:r>
            <w:proofErr w:type="spellEnd"/>
          </w:p>
        </w:tc>
        <w:tc>
          <w:tcPr>
            <w:tcW w:w="6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D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4061F" w:rsidTr="00997BD1">
        <w:trPr>
          <w:trHeight w:val="555"/>
        </w:trPr>
        <w:tc>
          <w:tcPr>
            <w:tcW w:w="139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vAlign w:val="center"/>
            <w:hideMark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4061F" w:rsidTr="00997BD1">
        <w:trPr>
          <w:trHeight w:val="378"/>
        </w:trPr>
        <w:tc>
          <w:tcPr>
            <w:tcW w:w="1397" w:type="dxa"/>
            <w:vMerge w:val="restart"/>
            <w:tcBorders>
              <w:top w:val="nil"/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AE54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Antitrámites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Recolección de información de los </w:t>
            </w:r>
            <w:r w:rsidR="00345B48">
              <w:rPr>
                <w:rFonts w:ascii="Arial" w:hAnsi="Arial" w:cs="Arial"/>
                <w:color w:val="000000"/>
                <w:sz w:val="20"/>
                <w:szCs w:val="20"/>
              </w:rPr>
              <w:t>trámites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Septiembre </w:t>
            </w:r>
            <w:r w:rsidR="0074061F" w:rsidRPr="00DC4B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Información y comunicaciones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316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Diligenciamiento del formato de hoja de vida del tramite tipo.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Octubre 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585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Subir información al SUIT, para consolidar.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Febrero  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406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Verificación de la información subida al SUIT y enviada al DAFP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para su aprobación.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Marzo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338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Ajustes por indicación del DAFP, para cambio de normas.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1E" w:rsidRPr="00DC4BD8" w:rsidRDefault="0074061F" w:rsidP="00912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C4B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Abril </w:t>
            </w:r>
            <w:r w:rsidR="00912D1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2016</w:t>
            </w:r>
          </w:p>
          <w:p w:rsidR="0074061F" w:rsidRPr="00DC4BD8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356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 </w:t>
            </w:r>
            <w:r w:rsidR="00912D1E">
              <w:rPr>
                <w:rFonts w:ascii="Arial" w:hAnsi="Arial" w:cs="Arial"/>
                <w:color w:val="000000"/>
                <w:sz w:val="20"/>
                <w:szCs w:val="20"/>
              </w:rPr>
              <w:t>Enviar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desde el aplicativo SUIT con comentarios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información del </w:t>
            </w:r>
            <w:r w:rsidR="00912D1E">
              <w:rPr>
                <w:rFonts w:ascii="Arial" w:hAnsi="Arial" w:cs="Arial"/>
                <w:color w:val="000000"/>
                <w:sz w:val="20"/>
                <w:szCs w:val="20"/>
              </w:rPr>
              <w:t>trámite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ser aprobado por el DAFP.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1E" w:rsidRPr="00DC4BD8" w:rsidRDefault="0074061F" w:rsidP="00912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C4B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Abril </w:t>
            </w:r>
            <w:r w:rsidR="00912D1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2016</w:t>
            </w:r>
          </w:p>
          <w:p w:rsidR="0074061F" w:rsidRPr="00DC4BD8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307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Aprobación del trámite por parte del DAFP, y registro de hoja de vida del trámite.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Mayo 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338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61F" w:rsidRDefault="00912D1E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 Publicación en el</w:t>
            </w:r>
            <w:r w:rsidR="0074061F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Portal del Estado Colombiano (PEC) una vez aprobada.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Mayo 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61F" w:rsidTr="00997BD1">
        <w:trPr>
          <w:trHeight w:val="684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</w:tcPr>
          <w:p w:rsidR="0074061F" w:rsidRPr="00AE5423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Actualización de los trámites tipo aprobados y publicados.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1E" w:rsidRPr="00DC4BD8" w:rsidRDefault="00912D1E" w:rsidP="00912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Mayo 2016</w:t>
            </w:r>
          </w:p>
          <w:p w:rsidR="0074061F" w:rsidRPr="00DC4BD8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Default="00912D1E" w:rsidP="00997BD1"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61F" w:rsidRDefault="0074061F" w:rsidP="0099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4061F" w:rsidRDefault="0074061F" w:rsidP="0074061F">
      <w:pPr>
        <w:rPr>
          <w:rFonts w:ascii="Arial" w:hAnsi="Arial" w:cs="Arial"/>
          <w:b/>
          <w:bCs/>
          <w:color w:val="000000"/>
        </w:rPr>
      </w:pP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</w:t>
      </w:r>
      <w:r w:rsidRPr="00DC4E06">
        <w:rPr>
          <w:rFonts w:ascii="Arial" w:hAnsi="Arial" w:cs="Arial"/>
          <w:b/>
          <w:bCs/>
          <w:color w:val="000000"/>
        </w:rPr>
        <w:t xml:space="preserve"> ESTRATEGIAS PARA MEJORAR LA ATENCIÓN AL CIUDADANO</w:t>
      </w:r>
    </w:p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7"/>
        <w:gridCol w:w="6088"/>
        <w:gridCol w:w="1744"/>
        <w:gridCol w:w="1559"/>
        <w:gridCol w:w="3119"/>
      </w:tblGrid>
      <w:tr w:rsidR="0074061F" w:rsidRPr="006D06BC" w:rsidTr="00F1140F">
        <w:trPr>
          <w:trHeight w:val="315"/>
        </w:trPr>
        <w:tc>
          <w:tcPr>
            <w:tcW w:w="139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Estrategias,</w:t>
            </w:r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br/>
              <w:t>Mecanismos,</w:t>
            </w:r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br/>
              <w:t xml:space="preserve">Medida, </w:t>
            </w:r>
            <w:proofErr w:type="spellStart"/>
            <w:r w:rsidRPr="006D0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etc</w:t>
            </w:r>
            <w:proofErr w:type="spellEnd"/>
          </w:p>
        </w:tc>
        <w:tc>
          <w:tcPr>
            <w:tcW w:w="6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D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74061F" w:rsidRPr="006D06BC" w:rsidRDefault="0074061F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4061F" w:rsidRPr="006D06BC" w:rsidTr="00F1140F">
        <w:trPr>
          <w:trHeight w:val="555"/>
        </w:trPr>
        <w:tc>
          <w:tcPr>
            <w:tcW w:w="139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6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6D06BC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4061F" w:rsidRPr="00DC4BD8" w:rsidTr="00F1140F">
        <w:trPr>
          <w:trHeight w:val="504"/>
        </w:trPr>
        <w:tc>
          <w:tcPr>
            <w:tcW w:w="1397" w:type="dxa"/>
            <w:vMerge w:val="restart"/>
            <w:tcBorders>
              <w:top w:val="nil"/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Atención al Ciudadano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1F" w:rsidRPr="000F0D0A" w:rsidRDefault="0074061F" w:rsidP="00997BD1">
            <w:pPr>
              <w:pStyle w:val="Default"/>
              <w:rPr>
                <w:sz w:val="18"/>
                <w:szCs w:val="18"/>
              </w:rPr>
            </w:pPr>
            <w:r w:rsidRPr="000F0D0A">
              <w:rPr>
                <w:sz w:val="18"/>
                <w:szCs w:val="18"/>
              </w:rPr>
              <w:t xml:space="preserve">Realización del </w:t>
            </w:r>
            <w:r w:rsidRPr="000F0D0A">
              <w:rPr>
                <w:b/>
                <w:bCs/>
                <w:i/>
                <w:iCs/>
                <w:sz w:val="18"/>
                <w:szCs w:val="18"/>
              </w:rPr>
              <w:t xml:space="preserve">“Manual de Atención al Ciudadano Archivo General de la Nación 2013”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Noviembre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DC4BD8" w:rsidTr="00F1140F">
        <w:trPr>
          <w:trHeight w:val="565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1F" w:rsidRPr="000F0D0A" w:rsidRDefault="0074061F" w:rsidP="00997BD1">
            <w:pPr>
              <w:pStyle w:val="Default"/>
              <w:rPr>
                <w:sz w:val="18"/>
                <w:szCs w:val="18"/>
              </w:rPr>
            </w:pPr>
            <w:r w:rsidRPr="000F0D0A">
              <w:rPr>
                <w:sz w:val="18"/>
                <w:szCs w:val="18"/>
              </w:rPr>
              <w:t xml:space="preserve">Fortalecer la vocación de buen servicio a través del desarrollo de programas de capacitación para los Servidores Públicos del </w:t>
            </w:r>
            <w:r w:rsidR="00014964">
              <w:rPr>
                <w:sz w:val="18"/>
                <w:szCs w:val="18"/>
              </w:rPr>
              <w:t>IDUVI</w:t>
            </w:r>
            <w:r>
              <w:rPr>
                <w:sz w:val="18"/>
                <w:szCs w:val="18"/>
              </w:rPr>
              <w:t xml:space="preserve"> </w:t>
            </w:r>
            <w:r w:rsidRPr="000F0D0A">
              <w:rPr>
                <w:sz w:val="18"/>
                <w:szCs w:val="18"/>
              </w:rPr>
              <w:t xml:space="preserve">que incluya protocolos de servicio al ciudadano en los canales presencial, virtual y vía telefónica.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Noviembre 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DC4BD8" w:rsidTr="00F1140F">
        <w:trPr>
          <w:trHeight w:val="585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1F" w:rsidRPr="000F0D0A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0F0D0A">
              <w:rPr>
                <w:sz w:val="18"/>
                <w:szCs w:val="18"/>
              </w:rPr>
              <w:t>Diseñar una estrategia conjunta con el proceso de</w:t>
            </w:r>
            <w:r w:rsidR="00014964">
              <w:rPr>
                <w:sz w:val="18"/>
                <w:szCs w:val="18"/>
              </w:rPr>
              <w:t xml:space="preserve"> información y comunicación del IDUVI </w:t>
            </w:r>
            <w:r w:rsidRPr="000F0D0A">
              <w:rPr>
                <w:sz w:val="18"/>
                <w:szCs w:val="18"/>
              </w:rPr>
              <w:t xml:space="preserve">con el fin de difundir campañas que promulguen y motiven el buen servicio al ciudadano en los servidores públicos del </w:t>
            </w:r>
            <w:r w:rsidR="00912D1E">
              <w:rPr>
                <w:sz w:val="18"/>
                <w:szCs w:val="18"/>
              </w:rPr>
              <w:t>IDUVI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Noviembre 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DC4BD8" w:rsidTr="00F1140F">
        <w:trPr>
          <w:trHeight w:val="684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  <w:hideMark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061F" w:rsidRPr="000F0D0A" w:rsidRDefault="0074061F" w:rsidP="00997BD1">
            <w:pPr>
              <w:pStyle w:val="Default"/>
              <w:jc w:val="both"/>
              <w:rPr>
                <w:sz w:val="18"/>
                <w:szCs w:val="18"/>
              </w:rPr>
            </w:pPr>
            <w:r w:rsidRPr="000F0D0A">
              <w:rPr>
                <w:sz w:val="18"/>
                <w:szCs w:val="18"/>
              </w:rPr>
              <w:t xml:space="preserve">Actualizar periódicamente la información publicada en la página web del </w:t>
            </w:r>
            <w:r w:rsidR="00912D1E">
              <w:rPr>
                <w:sz w:val="18"/>
                <w:szCs w:val="18"/>
              </w:rPr>
              <w:t xml:space="preserve">IDUVI </w:t>
            </w:r>
            <w:r w:rsidRPr="000F0D0A">
              <w:rPr>
                <w:sz w:val="18"/>
                <w:szCs w:val="18"/>
              </w:rPr>
              <w:t xml:space="preserve"> que corresponde al enlace de “Atención al ciudadano”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Noviembre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061F" w:rsidRPr="00DC4BD8" w:rsidTr="00F1140F">
        <w:trPr>
          <w:trHeight w:val="684"/>
        </w:trPr>
        <w:tc>
          <w:tcPr>
            <w:tcW w:w="1397" w:type="dxa"/>
            <w:vMerge/>
            <w:tcBorders>
              <w:left w:val="single" w:sz="8" w:space="0" w:color="FFFFFF"/>
              <w:right w:val="nil"/>
            </w:tcBorders>
            <w:shd w:val="clear" w:color="000000" w:fill="808080"/>
            <w:vAlign w:val="center"/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061F" w:rsidRPr="000F0D0A" w:rsidRDefault="0074061F" w:rsidP="00997BD1">
            <w:pPr>
              <w:pStyle w:val="Default"/>
              <w:rPr>
                <w:sz w:val="18"/>
                <w:szCs w:val="18"/>
              </w:rPr>
            </w:pPr>
            <w:r w:rsidRPr="000F0D0A">
              <w:rPr>
                <w:sz w:val="18"/>
                <w:szCs w:val="18"/>
              </w:rPr>
              <w:t xml:space="preserve">Garantizarla la interacción del ciudadano- entidad - ciudadano a través de la página web de </w:t>
            </w:r>
            <w:r w:rsidR="00912D1E">
              <w:rPr>
                <w:sz w:val="18"/>
                <w:szCs w:val="18"/>
              </w:rPr>
              <w:t xml:space="preserve">IDUVI </w:t>
            </w:r>
            <w:hyperlink r:id="rId8" w:history="1">
              <w:r w:rsidR="00912D1E" w:rsidRPr="00D7666B">
                <w:rPr>
                  <w:rStyle w:val="Hipervnculo"/>
                  <w:sz w:val="18"/>
                  <w:szCs w:val="18"/>
                </w:rPr>
                <w:t>www.iduvichia.gov.co</w:t>
              </w:r>
            </w:hyperlink>
            <w:r w:rsidRPr="000F0D0A">
              <w:rPr>
                <w:color w:val="0000FF"/>
                <w:sz w:val="18"/>
                <w:szCs w:val="18"/>
              </w:rPr>
              <w:t xml:space="preserve"> </w:t>
            </w:r>
            <w:r w:rsidRPr="000F0D0A">
              <w:rPr>
                <w:sz w:val="18"/>
                <w:szCs w:val="18"/>
              </w:rPr>
              <w:t>mediante la cual el ciudadano puede presentar sugerencias, quejas reclamos y denuncias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Noviembre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1F" w:rsidRPr="00DC4BD8" w:rsidRDefault="00912D1E" w:rsidP="00997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Información y comunicaciones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61F" w:rsidRPr="00DC4BD8" w:rsidRDefault="0074061F" w:rsidP="00997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74061F" w:rsidRDefault="0074061F" w:rsidP="00740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4061F" w:rsidRPr="003B36B3" w:rsidRDefault="0074061F" w:rsidP="0074061F">
      <w:pPr>
        <w:autoSpaceDE w:val="0"/>
        <w:autoSpaceDN w:val="0"/>
        <w:adjustRightInd w:val="0"/>
        <w:spacing w:after="0" w:line="240" w:lineRule="auto"/>
        <w:jc w:val="both"/>
      </w:pPr>
    </w:p>
    <w:p w:rsidR="00CF7845" w:rsidRPr="0074061F" w:rsidRDefault="00CF7845" w:rsidP="00CF7845"/>
    <w:sectPr w:rsidR="00CF7845" w:rsidRPr="0074061F" w:rsidSect="0074061F">
      <w:headerReference w:type="default" r:id="rId9"/>
      <w:footerReference w:type="default" r:id="rId10"/>
      <w:pgSz w:w="16838" w:h="11906" w:orient="landscape"/>
      <w:pgMar w:top="1701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0F4" w:rsidRDefault="009220F4" w:rsidP="00382D6D">
      <w:pPr>
        <w:spacing w:after="0" w:line="240" w:lineRule="auto"/>
      </w:pPr>
      <w:r>
        <w:separator/>
      </w:r>
    </w:p>
  </w:endnote>
  <w:endnote w:type="continuationSeparator" w:id="0">
    <w:p w:rsidR="009220F4" w:rsidRDefault="009220F4" w:rsidP="003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F4" w:rsidRPr="0074061F" w:rsidRDefault="0074061F" w:rsidP="00CF7845">
    <w:pPr>
      <w:pStyle w:val="Piedepgina"/>
      <w:jc w:val="center"/>
      <w:rPr>
        <w:sz w:val="18"/>
        <w:szCs w:val="18"/>
        <w:lang w:val="es-ES"/>
      </w:rPr>
    </w:pPr>
    <w:r>
      <w:rPr>
        <w:b/>
        <w:i/>
        <w:sz w:val="18"/>
        <w:szCs w:val="18"/>
      </w:rPr>
      <w:t>PLAN ANTICORRUPCIÓN Y ATENCIÓ</w:t>
    </w:r>
    <w:r w:rsidRPr="0074061F">
      <w:rPr>
        <w:b/>
        <w:i/>
        <w:sz w:val="18"/>
        <w:szCs w:val="18"/>
      </w:rPr>
      <w:t>N AL CIUDADANO</w:t>
    </w:r>
    <w:r w:rsidR="009220F4" w:rsidRPr="0074061F">
      <w:rPr>
        <w:sz w:val="18"/>
        <w:szCs w:val="18"/>
        <w:lang w:val="es-ES"/>
      </w:rPr>
      <w:t>. IDUVI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0F4" w:rsidRDefault="009220F4" w:rsidP="00382D6D">
      <w:pPr>
        <w:spacing w:after="0" w:line="240" w:lineRule="auto"/>
      </w:pPr>
      <w:r>
        <w:separator/>
      </w:r>
    </w:p>
  </w:footnote>
  <w:footnote w:type="continuationSeparator" w:id="0">
    <w:p w:rsidR="009220F4" w:rsidRDefault="009220F4" w:rsidP="0038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F4" w:rsidRDefault="009220F4" w:rsidP="00382D6D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>
          <wp:extent cx="2128979" cy="852755"/>
          <wp:effectExtent l="19050" t="0" r="4621" b="0"/>
          <wp:docPr id="4" name="jsn-logo-desktop" descr="http://www.iduvichia.gov.co/images/jsn_is_thumbs/images/2015/LOGO_IDUVI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n-logo-desktop" descr="http://www.iduvichia.gov.co/images/jsn_is_thumbs/images/2015/LOGO_IDUVI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918" cy="85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D8B"/>
    <w:multiLevelType w:val="multilevel"/>
    <w:tmpl w:val="61742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94438A"/>
    <w:multiLevelType w:val="hybridMultilevel"/>
    <w:tmpl w:val="B2863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B4589"/>
    <w:multiLevelType w:val="hybridMultilevel"/>
    <w:tmpl w:val="EC4253E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1B7576"/>
    <w:multiLevelType w:val="hybridMultilevel"/>
    <w:tmpl w:val="0DF24904"/>
    <w:lvl w:ilvl="0" w:tplc="9146A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7CE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2767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D802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0747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D4EC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2D6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AA3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9449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211C70F4"/>
    <w:multiLevelType w:val="hybridMultilevel"/>
    <w:tmpl w:val="8F844AEC"/>
    <w:lvl w:ilvl="0" w:tplc="A8C28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08E6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A880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C9CF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772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9A0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F1CF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272D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4D46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2C1D0D15"/>
    <w:multiLevelType w:val="hybridMultilevel"/>
    <w:tmpl w:val="FD14B06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8B2980"/>
    <w:multiLevelType w:val="hybridMultilevel"/>
    <w:tmpl w:val="FE26B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1837"/>
    <w:multiLevelType w:val="hybridMultilevel"/>
    <w:tmpl w:val="59AE01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0BD"/>
    <w:multiLevelType w:val="multilevel"/>
    <w:tmpl w:val="61742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6F213DC"/>
    <w:multiLevelType w:val="hybridMultilevel"/>
    <w:tmpl w:val="3E7A2AFC"/>
    <w:lvl w:ilvl="0" w:tplc="62024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DF2E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8C44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EC3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EDAF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96C9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DECC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5345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514F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42671FE1"/>
    <w:multiLevelType w:val="hybridMultilevel"/>
    <w:tmpl w:val="3F840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90494"/>
    <w:multiLevelType w:val="hybridMultilevel"/>
    <w:tmpl w:val="21229922"/>
    <w:lvl w:ilvl="0" w:tplc="15E66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136D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5902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4F27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E43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48C8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2A0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7820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D540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>
    <w:nsid w:val="45B326A1"/>
    <w:multiLevelType w:val="hybridMultilevel"/>
    <w:tmpl w:val="2E747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D7FC6"/>
    <w:multiLevelType w:val="hybridMultilevel"/>
    <w:tmpl w:val="45A89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F1C96"/>
    <w:multiLevelType w:val="hybridMultilevel"/>
    <w:tmpl w:val="C92E9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539D3"/>
    <w:multiLevelType w:val="multilevel"/>
    <w:tmpl w:val="93E2B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D175544"/>
    <w:multiLevelType w:val="hybridMultilevel"/>
    <w:tmpl w:val="D8DAA2D6"/>
    <w:lvl w:ilvl="0" w:tplc="C7BE4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F111C2"/>
    <w:multiLevelType w:val="hybridMultilevel"/>
    <w:tmpl w:val="09241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01277A"/>
    <w:multiLevelType w:val="hybridMultilevel"/>
    <w:tmpl w:val="B9D49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18"/>
  </w:num>
  <w:num w:numId="7">
    <w:abstractNumId w:val="5"/>
  </w:num>
  <w:num w:numId="8">
    <w:abstractNumId w:val="7"/>
  </w:num>
  <w:num w:numId="9">
    <w:abstractNumId w:val="17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"/>
  </w:num>
  <w:num w:numId="15">
    <w:abstractNumId w:val="12"/>
  </w:num>
  <w:num w:numId="16">
    <w:abstractNumId w:val="8"/>
  </w:num>
  <w:num w:numId="17">
    <w:abstractNumId w:val="15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D6D"/>
    <w:rsid w:val="00006B30"/>
    <w:rsid w:val="00014964"/>
    <w:rsid w:val="0008056A"/>
    <w:rsid w:val="000917B1"/>
    <w:rsid w:val="00094E83"/>
    <w:rsid w:val="000C7368"/>
    <w:rsid w:val="00113D9B"/>
    <w:rsid w:val="00201A93"/>
    <w:rsid w:val="00234D7F"/>
    <w:rsid w:val="00240058"/>
    <w:rsid w:val="00256263"/>
    <w:rsid w:val="0026269A"/>
    <w:rsid w:val="002B3700"/>
    <w:rsid w:val="002D1EF1"/>
    <w:rsid w:val="002E11EA"/>
    <w:rsid w:val="002E2CF9"/>
    <w:rsid w:val="002F1FF5"/>
    <w:rsid w:val="002F3105"/>
    <w:rsid w:val="00310647"/>
    <w:rsid w:val="00332057"/>
    <w:rsid w:val="00345B48"/>
    <w:rsid w:val="0035076F"/>
    <w:rsid w:val="00382D6D"/>
    <w:rsid w:val="003E14E6"/>
    <w:rsid w:val="003F08E9"/>
    <w:rsid w:val="004550DA"/>
    <w:rsid w:val="0047318B"/>
    <w:rsid w:val="00476D86"/>
    <w:rsid w:val="0047792B"/>
    <w:rsid w:val="00497952"/>
    <w:rsid w:val="004C2359"/>
    <w:rsid w:val="004D0C16"/>
    <w:rsid w:val="00513CEF"/>
    <w:rsid w:val="005216BA"/>
    <w:rsid w:val="005A7B12"/>
    <w:rsid w:val="005B025E"/>
    <w:rsid w:val="005B422C"/>
    <w:rsid w:val="005F06B4"/>
    <w:rsid w:val="0064379C"/>
    <w:rsid w:val="00650BD3"/>
    <w:rsid w:val="006929CD"/>
    <w:rsid w:val="006A2118"/>
    <w:rsid w:val="006C3F4B"/>
    <w:rsid w:val="00723939"/>
    <w:rsid w:val="0074061F"/>
    <w:rsid w:val="00784125"/>
    <w:rsid w:val="00794AFC"/>
    <w:rsid w:val="007D61AC"/>
    <w:rsid w:val="00840EEE"/>
    <w:rsid w:val="00864078"/>
    <w:rsid w:val="00895265"/>
    <w:rsid w:val="008B74F1"/>
    <w:rsid w:val="00912D1E"/>
    <w:rsid w:val="009220F4"/>
    <w:rsid w:val="00970175"/>
    <w:rsid w:val="009E332C"/>
    <w:rsid w:val="009F0EC5"/>
    <w:rsid w:val="00A01872"/>
    <w:rsid w:val="00A04AD6"/>
    <w:rsid w:val="00A12FBB"/>
    <w:rsid w:val="00A25133"/>
    <w:rsid w:val="00A325B4"/>
    <w:rsid w:val="00A74C40"/>
    <w:rsid w:val="00AE59BA"/>
    <w:rsid w:val="00AE75C2"/>
    <w:rsid w:val="00B10F5C"/>
    <w:rsid w:val="00B53534"/>
    <w:rsid w:val="00BB7FFC"/>
    <w:rsid w:val="00C20949"/>
    <w:rsid w:val="00C34661"/>
    <w:rsid w:val="00C420F2"/>
    <w:rsid w:val="00C67D9C"/>
    <w:rsid w:val="00C879C8"/>
    <w:rsid w:val="00C91C45"/>
    <w:rsid w:val="00CA4B4D"/>
    <w:rsid w:val="00CF5343"/>
    <w:rsid w:val="00CF7845"/>
    <w:rsid w:val="00D26B4D"/>
    <w:rsid w:val="00D67A20"/>
    <w:rsid w:val="00DB27FE"/>
    <w:rsid w:val="00DE7934"/>
    <w:rsid w:val="00E1730C"/>
    <w:rsid w:val="00EF0E1C"/>
    <w:rsid w:val="00F01213"/>
    <w:rsid w:val="00F1140F"/>
    <w:rsid w:val="00F81DFA"/>
    <w:rsid w:val="00F9138B"/>
    <w:rsid w:val="00FE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B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D6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382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2D6D"/>
    <w:rPr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382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2D6D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CF78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61AC"/>
    <w:pPr>
      <w:ind w:left="720"/>
      <w:contextualSpacing/>
    </w:pPr>
  </w:style>
  <w:style w:type="paragraph" w:customStyle="1" w:styleId="Default">
    <w:name w:val="Default"/>
    <w:rsid w:val="0074061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4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7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1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86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46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2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194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1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95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26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2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95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66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77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93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02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9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1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7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2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1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8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7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6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1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3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uvich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A2A9-576A-4365-95FC-9A047B78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10</Pages>
  <Words>1468</Words>
  <Characters>8077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22</cp:revision>
  <cp:lastPrinted>2015-04-24T21:34:00Z</cp:lastPrinted>
  <dcterms:created xsi:type="dcterms:W3CDTF">2015-04-14T20:20:00Z</dcterms:created>
  <dcterms:modified xsi:type="dcterms:W3CDTF">2016-03-31T17:47:00Z</dcterms:modified>
</cp:coreProperties>
</file>